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F48" w:rsidRDefault="005A1200">
      <w:pPr>
        <w:jc w:val="center"/>
        <w:rPr>
          <w:rFonts w:ascii="宋体" w:eastAsia="宋体" w:hAnsi="宋体"/>
          <w:b/>
          <w:sz w:val="36"/>
          <w:szCs w:val="44"/>
        </w:rPr>
      </w:pPr>
      <w:r w:rsidRPr="005A1200">
        <w:rPr>
          <w:rFonts w:ascii="宋体" w:eastAsia="宋体" w:hAnsi="宋体" w:hint="eastAsia"/>
          <w:b/>
          <w:sz w:val="36"/>
          <w:szCs w:val="44"/>
        </w:rPr>
        <w:t>心电监护仪</w:t>
      </w:r>
      <w:r w:rsidR="004A77BF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BB2CDD" w:rsidRDefault="00667173" w:rsidP="00320F48">
      <w:pPr>
        <w:rPr>
          <w:rFonts w:ascii="宋体" w:eastAsia="宋体" w:hAnsi="宋体"/>
          <w:b/>
          <w:sz w:val="36"/>
          <w:szCs w:val="44"/>
        </w:rPr>
      </w:pPr>
      <w:r w:rsidRPr="00667173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6</w:t>
      </w:r>
      <w:r w:rsidRPr="00667173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10</w:t>
      </w:r>
      <w:r w:rsidRPr="00667173">
        <w:rPr>
          <w:rFonts w:ascii="宋体" w:eastAsia="宋体" w:hAnsi="宋体" w:hint="eastAsia"/>
          <w:b/>
          <w:sz w:val="36"/>
          <w:szCs w:val="44"/>
        </w:rPr>
        <w:t>万元</w:t>
      </w:r>
      <w:r w:rsidR="00320F48" w:rsidRPr="00320F48">
        <w:rPr>
          <w:rFonts w:ascii="宋体" w:eastAsia="宋体" w:hAnsi="宋体" w:hint="eastAsia"/>
          <w:b/>
          <w:sz w:val="36"/>
          <w:szCs w:val="44"/>
        </w:rPr>
        <w:t>/台，</w:t>
      </w:r>
      <w:r w:rsidRPr="00667173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60</w:t>
      </w:r>
      <w:r w:rsidRPr="00667173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BB2CDD" w:rsidRDefault="004A77BF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BB2CDD">
        <w:tc>
          <w:tcPr>
            <w:tcW w:w="599" w:type="pct"/>
            <w:vAlign w:val="center"/>
          </w:tcPr>
          <w:p w:rsidR="00BB2CDD" w:rsidRDefault="005A1200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5A120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心电监护仪</w:t>
            </w:r>
            <w:r w:rsidR="00667173" w:rsidRPr="0066717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（拟采购数量6台，单价10万元</w:t>
            </w:r>
            <w:r w:rsidR="00320F48" w:rsidRPr="00320F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/台，</w:t>
            </w:r>
            <w:bookmarkStart w:id="0" w:name="_GoBack"/>
            <w:bookmarkEnd w:id="0"/>
            <w:r w:rsidR="00667173" w:rsidRPr="0066717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总价60万元）</w:t>
            </w:r>
          </w:p>
        </w:tc>
        <w:tc>
          <w:tcPr>
            <w:tcW w:w="4400" w:type="pct"/>
          </w:tcPr>
          <w:p w:rsidR="00BB2CDD" w:rsidRPr="005A1200" w:rsidRDefault="004A77BF" w:rsidP="005A1200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5A1200" w:rsidRPr="005A1200">
              <w:rPr>
                <w:b/>
                <w:bCs/>
                <w:sz w:val="24"/>
                <w:szCs w:val="32"/>
              </w:rPr>
              <w:t xml:space="preserve"> </w:t>
            </w:r>
          </w:p>
          <w:p w:rsidR="005A1200" w:rsidRPr="005A1200" w:rsidRDefault="005A1200" w:rsidP="005A1200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（一）物理指标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配有18.5英寸显示屏的设备重量5.4kg（</w:t>
            </w:r>
            <w:proofErr w:type="gram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含标准</w:t>
            </w:r>
            <w:proofErr w:type="gram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配置，不包括电池、记录仪、扩展模块和配附件）。无风扇设计。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自身集成6槽插件箱，能够满足大部分临床需求。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支持通过线缆直接连接1个插件箱，不需要额外的供电。每个插件</w:t>
            </w:r>
            <w:proofErr w:type="gram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箱具有</w:t>
            </w:r>
            <w:proofErr w:type="gram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8个模块槽位。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主机带有4个USB接口，可以支持连接存储介质、鼠标、键盘、条码扫描枪等USB设备。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具有多种操作方式：触摸屏、鼠标、键盘、条码扫描枪、遥控器；扫描枪支持一维条码和</w:t>
            </w:r>
            <w:proofErr w:type="gram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二维码识别</w:t>
            </w:r>
            <w:proofErr w:type="gram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功能。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 xml:space="preserve">ECG, TEMP, IBP, SpO2 C.O., </w:t>
            </w:r>
            <w:proofErr w:type="spell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PiCCO</w:t>
            </w:r>
            <w:proofErr w:type="spell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, NIBP, EEG, and NMT除颤抗电击满足CF级别；ScvO2, CO2, ICG, BIS, AG, RM，rSO2除颤电击满足BF级别。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（二）显示指标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18.5英寸显示屏分辨率1920 x 1080像素；显示屏视角上下、左右视角均达到178度。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采用具有光学</w:t>
            </w:r>
            <w:proofErr w:type="gram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胶技术</w:t>
            </w:r>
            <w:proofErr w:type="gram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的电容触摸屏。显示屏亮度自动调节；支持报警灯亮度可调节。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提供多点触摸和手势操作功能无边框显示屏设计，易于清洁。15.6英寸显示屏至少支持10道波形显示。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（三）监测指标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标配</w:t>
            </w:r>
            <w:proofErr w:type="gram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3/5导心电，阻抗呼吸，血氧、无创血压，2通道体温，2通道IBP。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选配IBP，Temp，CO2，AG，RM，C.O.，</w:t>
            </w:r>
            <w:proofErr w:type="spell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PiCCO</w:t>
            </w:r>
            <w:proofErr w:type="spell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，ScvO2，CCO/SvO2，ICG，BIS/BISx4，EEG，NMT，rSO2参数模块，以及记录仪、设备集成模块。模块不需要额外供电，均支持即插即用。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（四）心电指标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具有QT/</w:t>
            </w:r>
            <w:proofErr w:type="spell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QTc</w:t>
            </w:r>
            <w:proofErr w:type="spell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测量功能，提供QT，</w:t>
            </w:r>
            <w:proofErr w:type="spell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QTc</w:t>
            </w:r>
            <w:proofErr w:type="spell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和Δ</w:t>
            </w:r>
            <w:proofErr w:type="spell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QTc</w:t>
            </w:r>
            <w:proofErr w:type="spell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参数值。提供QT和</w:t>
            </w:r>
            <w:proofErr w:type="spell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QTc</w:t>
            </w:r>
            <w:proofErr w:type="spell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模板显示。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提供Glasgow 12 导静息分析。用户可以直接在监护仪上进行12导静息分析，并获得分析结果。Glasgow算法支持将病人的年龄、性别、种族、病史等信息作为分析的参考因素，使分析结果更准确。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（五）阻抗呼吸指标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计算导联可以选择I，II，自动；呼吸窒息报警开关和RR超限报警开关可分开设置。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RR测量范围0-200 rpm，精度0-120 rpm:±1 rpm; 121-200 rpm:±2 rpm。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lastRenderedPageBreak/>
              <w:t>（六）血氧饱和度指标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血氧饱和度测量范围：0 - 100%。来自于血氧的脉率测量范围：20 – 300 bpm。可显示弱灌注指数（PI）。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具有脉搏调制音功能，可随脉搏血氧饱和度变化而相应变化。提供双血氧监测功能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（七）体温指标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最多可提供8通道体温测量，提供其中两通道体温测量差值显示。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体温测量范围：0-50摄氏度。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（八）NIBP指标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提供手动、自动间隔、连续、序列四种测量模式。在监护界面提供NIBP列表显示。支持辅助静脉穿刺。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（九）IBP指标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支持波形叠加，最大支持10道IBP波形叠加。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支持实时PPV测量。支持PAWP手动或自动测量。支持ICP和CPP测量。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（十）PR指标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PR测量范围：25-350 bpm (来自IBP动脉压), 20-300 bpm (来自</w:t>
            </w:r>
            <w:proofErr w:type="spell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Mindray</w:t>
            </w:r>
            <w:proofErr w:type="spell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/</w:t>
            </w:r>
            <w:proofErr w:type="spell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Nellcor</w:t>
            </w:r>
            <w:proofErr w:type="spell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 xml:space="preserve"> SpO2), 30-300 bpm (来自NIBP)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当没有通过ECG测量HR值，而有PR测量值的时候，PR</w:t>
            </w:r>
            <w:proofErr w:type="gram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值能够</w:t>
            </w:r>
            <w:proofErr w:type="gram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自动显示到HR参数区。（常见于新生儿科使用。）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（十一）报警功能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报警系统满足IEC 60601-1-8：2012标准要求。具有LED报警灯，能够进行三级报警状态显示（红，黄，青）。具有三种报警音风格，可根据客户的喜好选择。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具有报警记录功能，能够自动在报警触发时进行与报警相关的波形和测量值的记录。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（十二）回顾与数据存储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40个及以上参数的120小时（分辨率1分钟）趋势表、趋势图回顾，4小时（分辨率5秒）趋势表、趋势图回顾。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48小时全息波形回顾。全息波形至少能存储所有测量值，以及至少3道波形。监护仪存储48小时全息波形，不需要额外连接外部存储介质。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（十三）系统功能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工作模式提供：监护模式、待机模式、体外循环模式</w:t>
            </w:r>
            <w:proofErr w:type="gramStart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模式</w:t>
            </w:r>
            <w:proofErr w:type="gramEnd"/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、插管模式，夜间模式、隐私模式、演示模式。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（十四）临床辅助应用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可升级具有脓毒症筛查工具，以及满足2012 SSC指南和Sepsis3.0的治疗建议检查清单，并提供治疗建议。</w:t>
            </w:r>
          </w:p>
          <w:p w:rsidR="005A1200" w:rsidRPr="008B2E46" w:rsidRDefault="005A1200" w:rsidP="008B2E4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8B2E4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（十五）床旁设备集成</w:t>
            </w:r>
          </w:p>
          <w:p w:rsidR="005A1200" w:rsidRPr="005A1200" w:rsidRDefault="005A1200" w:rsidP="005A1200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可通过设备集成器把床旁呼吸机、麻醉机、等单机信息集成到监护设备上显示。</w:t>
            </w:r>
          </w:p>
          <w:p w:rsidR="00BB2CDD" w:rsidRPr="008B2E46" w:rsidRDefault="005A1200" w:rsidP="008B2E4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5A120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可升级1个设备集成模块，同时满足≥4种设备集成连接。</w:t>
            </w:r>
          </w:p>
          <w:p w:rsidR="00BB2CDD" w:rsidRDefault="004A77BF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BB2CDD" w:rsidTr="005C122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4A77B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lastRenderedPageBreak/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BB2CDD" w:rsidRDefault="004A77B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4A77B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4A77B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BB2CDD" w:rsidTr="005C122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4A77B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BB2CDD" w:rsidRDefault="008B2E4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8B2E46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监护仪主机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4A77B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4A77B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BB2CDD" w:rsidTr="005C122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4A77B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BB2CDD" w:rsidRPr="008B2E46" w:rsidRDefault="008B2E4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Times New Roman"/>
                      <w:sz w:val="24"/>
                    </w:rPr>
                  </w:pPr>
                  <w:r w:rsidRPr="008B2E46">
                    <w:rPr>
                      <w:rFonts w:ascii="宋体" w:eastAsia="宋体" w:hAnsi="宋体" w:cs="Times New Roman"/>
                      <w:sz w:val="24"/>
                    </w:rPr>
                    <w:t>心电导联线及电极片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4A77B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套</w:t>
                  </w:r>
                </w:p>
              </w:tc>
            </w:tr>
            <w:tr w:rsidR="00BB2CDD" w:rsidTr="005C122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4A77B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BB2CDD" w:rsidRDefault="008B2E4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血氧连接线及探头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4A77B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CDD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套</w:t>
                  </w:r>
                </w:p>
              </w:tc>
            </w:tr>
            <w:tr w:rsidR="008B2E46" w:rsidTr="005C122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Times New Roman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血压连接线及袖带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套</w:t>
                  </w:r>
                </w:p>
              </w:tc>
            </w:tr>
            <w:tr w:rsidR="008B2E46" w:rsidTr="005C122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Times New Roman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使用说明书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本</w:t>
                  </w:r>
                </w:p>
              </w:tc>
            </w:tr>
            <w:tr w:rsidR="008B2E46" w:rsidTr="005C122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Times New Roman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简易</w:t>
                  </w:r>
                  <w:proofErr w:type="gramStart"/>
                  <w:r>
                    <w:rPr>
                      <w:rFonts w:ascii="宋体" w:eastAsia="宋体" w:hAnsi="宋体" w:cs="Times New Roman" w:hint="eastAsia"/>
                      <w:sz w:val="24"/>
                    </w:rPr>
                    <w:t>操作卡</w:t>
                  </w:r>
                  <w:proofErr w:type="gramEnd"/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份</w:t>
                  </w:r>
                </w:p>
              </w:tc>
            </w:tr>
            <w:tr w:rsidR="008B2E46" w:rsidTr="005C122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Times New Roman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合格证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份</w:t>
                  </w:r>
                </w:p>
              </w:tc>
            </w:tr>
            <w:tr w:rsidR="008B2E46" w:rsidTr="005C122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8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8B2E46" w:rsidRPr="008B2E46" w:rsidRDefault="008B2E4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Times New Roman"/>
                      <w:sz w:val="24"/>
                    </w:rPr>
                  </w:pPr>
                  <w:r w:rsidRPr="008B2E46">
                    <w:rPr>
                      <w:rFonts w:ascii="宋体" w:eastAsia="宋体" w:hAnsi="宋体" w:cs="Times New Roman"/>
                      <w:bCs/>
                      <w:sz w:val="24"/>
                    </w:rPr>
                    <w:t>备用内置电池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B2E46" w:rsidRDefault="008B2E4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个</w:t>
                  </w:r>
                </w:p>
              </w:tc>
            </w:tr>
          </w:tbl>
          <w:p w:rsidR="00BB2CDD" w:rsidRDefault="00BB2CDD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BB2CDD" w:rsidRDefault="00BB2CDD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BB2CD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FF3" w:rsidRDefault="00C07FF3"/>
  </w:endnote>
  <w:endnote w:type="continuationSeparator" w:id="0">
    <w:p w:rsidR="00C07FF3" w:rsidRDefault="00C07F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BB2CDD" w:rsidRDefault="004A77B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F48" w:rsidRPr="00320F48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FF3" w:rsidRDefault="00C07FF3"/>
  </w:footnote>
  <w:footnote w:type="continuationSeparator" w:id="0">
    <w:p w:rsidR="00C07FF3" w:rsidRDefault="00C07F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CDD" w:rsidRDefault="00BB2CDD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71AE0325"/>
    <w:multiLevelType w:val="hybridMultilevel"/>
    <w:tmpl w:val="B8401D9C"/>
    <w:lvl w:ilvl="0" w:tplc="2DAC6832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320F48"/>
    <w:rsid w:val="003D1272"/>
    <w:rsid w:val="004A5A04"/>
    <w:rsid w:val="004A77BF"/>
    <w:rsid w:val="005A1200"/>
    <w:rsid w:val="005C1224"/>
    <w:rsid w:val="00667173"/>
    <w:rsid w:val="00720886"/>
    <w:rsid w:val="00765B6E"/>
    <w:rsid w:val="00834015"/>
    <w:rsid w:val="008B2E46"/>
    <w:rsid w:val="00900BAA"/>
    <w:rsid w:val="009751A1"/>
    <w:rsid w:val="009D0901"/>
    <w:rsid w:val="00A67254"/>
    <w:rsid w:val="00B2632F"/>
    <w:rsid w:val="00B40024"/>
    <w:rsid w:val="00BB2CDD"/>
    <w:rsid w:val="00BC3CEE"/>
    <w:rsid w:val="00BE13A6"/>
    <w:rsid w:val="00C07FF3"/>
    <w:rsid w:val="00C42771"/>
    <w:rsid w:val="00C641F0"/>
    <w:rsid w:val="00D31E8B"/>
    <w:rsid w:val="00E94E3E"/>
    <w:rsid w:val="00F11474"/>
    <w:rsid w:val="00F12CDC"/>
    <w:rsid w:val="00FE43D4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9D332E0-BC7F-4116-990C-0B4E8F48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styleId="ad">
    <w:name w:val="Strong"/>
    <w:basedOn w:val="a0"/>
    <w:uiPriority w:val="22"/>
    <w:qFormat/>
    <w:rsid w:val="008B2E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